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17" w:rsidRDefault="002E21CA" w:rsidP="00BF5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</w:t>
      </w:r>
      <w:r w:rsidR="00BF5017" w:rsidRPr="00BF5017">
        <w:rPr>
          <w:rFonts w:ascii="Times New Roman" w:hAnsi="Times New Roman" w:cs="Times New Roman"/>
          <w:b/>
          <w:sz w:val="28"/>
          <w:szCs w:val="28"/>
        </w:rPr>
        <w:t>imosoudního řešení spotřebitelských sporů (ADR)</w:t>
      </w:r>
      <w:r>
        <w:rPr>
          <w:rFonts w:ascii="Times New Roman" w:hAnsi="Times New Roman" w:cs="Times New Roman"/>
          <w:b/>
          <w:sz w:val="28"/>
          <w:szCs w:val="28"/>
        </w:rPr>
        <w:t xml:space="preserve"> a povinnosti podnikatelů</w:t>
      </w:r>
    </w:p>
    <w:p w:rsidR="00561C76" w:rsidRPr="002B6998" w:rsidRDefault="00534B8E" w:rsidP="005F5ADB">
      <w:pPr>
        <w:shd w:val="clear" w:color="auto" w:fill="FFFFFF"/>
        <w:spacing w:before="240" w:after="240" w:line="294" w:lineRule="atLeast"/>
        <w:jc w:val="both"/>
        <w:rPr>
          <w:rStyle w:val="apple-converted-space"/>
          <w:rFonts w:ascii="Arial" w:hAnsi="Arial" w:cs="Arial"/>
          <w:i/>
          <w:color w:val="000000"/>
          <w:sz w:val="20"/>
          <w:szCs w:val="20"/>
        </w:rPr>
      </w:pPr>
      <w:r>
        <w:rPr>
          <w:rStyle w:val="Siln"/>
          <w:rFonts w:ascii="Arial" w:hAnsi="Arial" w:cs="Arial"/>
          <w:i/>
          <w:color w:val="000000"/>
          <w:sz w:val="20"/>
          <w:szCs w:val="20"/>
        </w:rPr>
        <w:t>Zákon</w:t>
      </w:r>
      <w:r w:rsidR="00176920" w:rsidRPr="002B6998">
        <w:rPr>
          <w:rStyle w:val="Siln"/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Style w:val="Siln"/>
          <w:rFonts w:ascii="Arial" w:hAnsi="Arial" w:cs="Arial"/>
          <w:i/>
          <w:color w:val="000000"/>
          <w:sz w:val="20"/>
          <w:szCs w:val="20"/>
        </w:rPr>
        <w:t>o ochraně spotřebitele stanoví podnikatelům, kteří</w:t>
      </w:r>
      <w:r w:rsidR="00176920" w:rsidRPr="002B6998">
        <w:rPr>
          <w:rStyle w:val="Siln"/>
          <w:rFonts w:ascii="Arial" w:hAnsi="Arial" w:cs="Arial"/>
          <w:i/>
          <w:color w:val="000000"/>
          <w:sz w:val="20"/>
          <w:szCs w:val="20"/>
        </w:rPr>
        <w:t xml:space="preserve"> </w:t>
      </w:r>
      <w:r w:rsidR="00EA10FA" w:rsidRPr="002B6998">
        <w:rPr>
          <w:rStyle w:val="Siln"/>
          <w:rFonts w:ascii="Arial" w:hAnsi="Arial" w:cs="Arial"/>
          <w:i/>
          <w:color w:val="000000"/>
          <w:sz w:val="20"/>
          <w:szCs w:val="20"/>
        </w:rPr>
        <w:t>vstupují do smluvního vztah</w:t>
      </w:r>
      <w:r w:rsidR="002E21CA">
        <w:rPr>
          <w:rStyle w:val="Siln"/>
          <w:rFonts w:ascii="Arial" w:hAnsi="Arial" w:cs="Arial"/>
          <w:i/>
          <w:color w:val="000000"/>
          <w:sz w:val="20"/>
          <w:szCs w:val="20"/>
        </w:rPr>
        <w:t>u</w:t>
      </w:r>
      <w:r>
        <w:rPr>
          <w:rStyle w:val="Siln"/>
          <w:rFonts w:ascii="Arial" w:hAnsi="Arial" w:cs="Arial"/>
          <w:i/>
          <w:color w:val="000000"/>
          <w:sz w:val="20"/>
          <w:szCs w:val="20"/>
        </w:rPr>
        <w:t xml:space="preserve"> se spotřebiteli, řadu povinností</w:t>
      </w:r>
      <w:r w:rsidR="00176920" w:rsidRPr="002B6998">
        <w:rPr>
          <w:rStyle w:val="Siln"/>
          <w:rFonts w:ascii="Arial" w:hAnsi="Arial" w:cs="Arial"/>
          <w:i/>
          <w:color w:val="000000"/>
          <w:sz w:val="20"/>
          <w:szCs w:val="20"/>
        </w:rPr>
        <w:t>.</w:t>
      </w:r>
      <w:r w:rsidR="00176920" w:rsidRPr="002B6998">
        <w:rPr>
          <w:rStyle w:val="apple-converted-space"/>
          <w:rFonts w:ascii="Arial" w:hAnsi="Arial" w:cs="Arial"/>
          <w:i/>
          <w:color w:val="000000"/>
          <w:sz w:val="20"/>
          <w:szCs w:val="20"/>
        </w:rPr>
        <w:t> 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</w:rPr>
        <w:t>Jedněmi z nich jsou povinnosti související s</w:t>
      </w:r>
      <w:r w:rsidR="00561C76" w:rsidRPr="002B6998">
        <w:rPr>
          <w:rStyle w:val="apple-converted-space"/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</w:rPr>
        <w:t>mimosoudním</w:t>
      </w:r>
      <w:r w:rsidR="005F5ADB" w:rsidRPr="002B6998">
        <w:rPr>
          <w:rStyle w:val="apple-converted-space"/>
          <w:rFonts w:ascii="Arial" w:hAnsi="Arial" w:cs="Arial"/>
          <w:i/>
          <w:color w:val="000000"/>
          <w:sz w:val="20"/>
          <w:szCs w:val="20"/>
        </w:rPr>
        <w:t xml:space="preserve"> řešen</w:t>
      </w:r>
      <w:r>
        <w:rPr>
          <w:rStyle w:val="apple-converted-space"/>
          <w:rFonts w:ascii="Arial" w:hAnsi="Arial" w:cs="Arial"/>
          <w:i/>
          <w:color w:val="000000"/>
          <w:sz w:val="20"/>
          <w:szCs w:val="20"/>
        </w:rPr>
        <w:t>ím spotřebitelských sporů, tzv. ADR.</w:t>
      </w:r>
    </w:p>
    <w:p w:rsidR="00A434A4" w:rsidRPr="002B6998" w:rsidRDefault="00176920" w:rsidP="005F5ADB">
      <w:pPr>
        <w:shd w:val="clear" w:color="auto" w:fill="FFFFFF"/>
        <w:spacing w:before="240" w:after="240" w:line="29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B6998">
        <w:rPr>
          <w:rFonts w:ascii="Arial" w:hAnsi="Arial" w:cs="Arial"/>
          <w:color w:val="000000"/>
          <w:sz w:val="20"/>
          <w:szCs w:val="20"/>
        </w:rPr>
        <w:t>Od 1. února</w:t>
      </w:r>
      <w:r w:rsidR="00534B8E">
        <w:rPr>
          <w:rFonts w:ascii="Arial" w:hAnsi="Arial" w:cs="Arial"/>
          <w:color w:val="000000"/>
          <w:sz w:val="20"/>
          <w:szCs w:val="20"/>
        </w:rPr>
        <w:t xml:space="preserve"> 2016</w:t>
      </w:r>
      <w:r w:rsidRPr="002B6998">
        <w:rPr>
          <w:rFonts w:ascii="Arial" w:hAnsi="Arial" w:cs="Arial"/>
          <w:color w:val="000000"/>
          <w:sz w:val="20"/>
          <w:szCs w:val="20"/>
        </w:rPr>
        <w:t xml:space="preserve"> mají spotřebitelé možnost řešit své spory s</w:t>
      </w:r>
      <w:r w:rsidR="00C830E2" w:rsidRPr="002B6998">
        <w:rPr>
          <w:rFonts w:ascii="Arial" w:hAnsi="Arial" w:cs="Arial"/>
          <w:color w:val="000000"/>
          <w:sz w:val="20"/>
          <w:szCs w:val="20"/>
        </w:rPr>
        <w:t> </w:t>
      </w:r>
      <w:r w:rsidRPr="002B6998">
        <w:rPr>
          <w:rFonts w:ascii="Arial" w:hAnsi="Arial" w:cs="Arial"/>
          <w:color w:val="000000"/>
          <w:sz w:val="20"/>
          <w:szCs w:val="20"/>
        </w:rPr>
        <w:t>prodávajícím</w:t>
      </w:r>
      <w:r w:rsidR="00C830E2" w:rsidRPr="002B6998">
        <w:rPr>
          <w:rFonts w:ascii="Arial" w:hAnsi="Arial" w:cs="Arial"/>
          <w:color w:val="000000"/>
          <w:sz w:val="20"/>
          <w:szCs w:val="20"/>
        </w:rPr>
        <w:t xml:space="preserve"> či poskytovatelem služeb</w:t>
      </w:r>
      <w:r w:rsidR="002D0EE0">
        <w:rPr>
          <w:rFonts w:ascii="Arial" w:hAnsi="Arial" w:cs="Arial"/>
          <w:color w:val="000000"/>
          <w:sz w:val="20"/>
          <w:szCs w:val="20"/>
        </w:rPr>
        <w:t xml:space="preserve"> před tzv. subjekty</w:t>
      </w:r>
      <w:r w:rsidRPr="002B6998">
        <w:rPr>
          <w:rFonts w:ascii="Arial" w:hAnsi="Arial" w:cs="Arial"/>
          <w:color w:val="000000"/>
          <w:sz w:val="20"/>
          <w:szCs w:val="20"/>
        </w:rPr>
        <w:t xml:space="preserve"> pro mimosoud</w:t>
      </w:r>
      <w:r w:rsidR="002D0EE0">
        <w:rPr>
          <w:rFonts w:ascii="Arial" w:hAnsi="Arial" w:cs="Arial"/>
          <w:color w:val="000000"/>
          <w:sz w:val="20"/>
          <w:szCs w:val="20"/>
        </w:rPr>
        <w:t>ní řešení sporů (ADR), kterými jsou podle předmětu sporu Česká obchodní inspekce, Finanční arbitr, Energetický regulační úřad, Český telekomunikační úřad a další.</w:t>
      </w:r>
    </w:p>
    <w:p w:rsidR="002D0EE0" w:rsidRDefault="00A434A4" w:rsidP="005F5ADB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2B6998">
        <w:rPr>
          <w:rFonts w:ascii="Arial" w:hAnsi="Arial" w:cs="Arial"/>
          <w:sz w:val="20"/>
          <w:szCs w:val="20"/>
          <w:lang w:eastAsia="cs-CZ"/>
        </w:rPr>
        <w:t>Podnikatelé v oblasti telekomunikací, služeb finančního trhu a energetiky</w:t>
      </w:r>
      <w:r w:rsidR="00C830E2" w:rsidRPr="002B699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D0EE0">
        <w:rPr>
          <w:rFonts w:ascii="Arial" w:hAnsi="Arial" w:cs="Arial"/>
          <w:sz w:val="20"/>
          <w:szCs w:val="20"/>
          <w:lang w:eastAsia="cs-CZ"/>
        </w:rPr>
        <w:t>znali</w:t>
      </w:r>
      <w:r w:rsidRPr="002B6998">
        <w:rPr>
          <w:rFonts w:ascii="Arial" w:hAnsi="Arial" w:cs="Arial"/>
          <w:sz w:val="20"/>
          <w:szCs w:val="20"/>
          <w:lang w:eastAsia="cs-CZ"/>
        </w:rPr>
        <w:t xml:space="preserve"> mimosoudní řešení sporů</w:t>
      </w:r>
      <w:r w:rsidR="00561C76" w:rsidRPr="002B6998">
        <w:rPr>
          <w:rFonts w:ascii="Arial" w:hAnsi="Arial" w:cs="Arial"/>
          <w:sz w:val="20"/>
          <w:szCs w:val="20"/>
          <w:lang w:eastAsia="cs-CZ"/>
        </w:rPr>
        <w:t xml:space="preserve"> důvěrně</w:t>
      </w:r>
      <w:r w:rsidR="002D0EE0">
        <w:rPr>
          <w:rFonts w:ascii="Arial" w:hAnsi="Arial" w:cs="Arial"/>
          <w:sz w:val="20"/>
          <w:szCs w:val="20"/>
          <w:lang w:eastAsia="cs-CZ"/>
        </w:rPr>
        <w:t xml:space="preserve"> již z dřívější doby</w:t>
      </w:r>
      <w:r w:rsidRPr="002B6998">
        <w:rPr>
          <w:rFonts w:ascii="Arial" w:hAnsi="Arial" w:cs="Arial"/>
          <w:sz w:val="20"/>
          <w:szCs w:val="20"/>
          <w:lang w:eastAsia="cs-CZ"/>
        </w:rPr>
        <w:t xml:space="preserve">. Tři ze čtyř 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>s</w:t>
      </w:r>
      <w:r w:rsidRPr="002B6998">
        <w:rPr>
          <w:rFonts w:ascii="Arial" w:hAnsi="Arial" w:cs="Arial"/>
          <w:sz w:val="20"/>
          <w:szCs w:val="20"/>
          <w:lang w:eastAsia="cs-CZ"/>
        </w:rPr>
        <w:t xml:space="preserve">ubjektů ADR pro spotřebitelské spory – Český telekomunikační úřad, Finanční arbitr a 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>Energetický regulační úřad</w:t>
      </w:r>
      <w:r w:rsidR="00561C76" w:rsidRPr="002B6998">
        <w:rPr>
          <w:rFonts w:ascii="Arial" w:hAnsi="Arial" w:cs="Arial"/>
          <w:sz w:val="20"/>
          <w:szCs w:val="20"/>
          <w:lang w:eastAsia="cs-CZ"/>
        </w:rPr>
        <w:t xml:space="preserve"> totiž 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>spotřebitelské spory</w:t>
      </w:r>
      <w:r w:rsidR="002D0EE0">
        <w:rPr>
          <w:rFonts w:ascii="Arial" w:hAnsi="Arial" w:cs="Arial"/>
          <w:sz w:val="20"/>
          <w:szCs w:val="20"/>
          <w:lang w:eastAsia="cs-CZ"/>
        </w:rPr>
        <w:t xml:space="preserve"> řeší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61C76" w:rsidRPr="002B6998">
        <w:rPr>
          <w:rFonts w:ascii="Arial" w:hAnsi="Arial" w:cs="Arial"/>
          <w:sz w:val="20"/>
          <w:szCs w:val="20"/>
          <w:lang w:eastAsia="cs-CZ"/>
        </w:rPr>
        <w:t>již řadu let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355E83" w:rsidRPr="002B6998" w:rsidRDefault="002D0EE0" w:rsidP="005F5ADB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Od roku 2016 řeší mimosoudně spory také Česká obchodní inspekce</w:t>
      </w:r>
      <w:r w:rsidR="00EA10FA" w:rsidRPr="002B6998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5F5ADB" w:rsidRPr="002B6998">
        <w:rPr>
          <w:rFonts w:ascii="Arial" w:hAnsi="Arial" w:cs="Arial"/>
          <w:sz w:val="20"/>
          <w:szCs w:val="20"/>
          <w:lang w:eastAsia="cs-CZ"/>
        </w:rPr>
        <w:t>Na tu se mohou obrátit všichni spotřebitelé, kteří</w:t>
      </w:r>
      <w:r w:rsidR="00355E83" w:rsidRPr="002B699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830E2" w:rsidRPr="002B6998">
        <w:rPr>
          <w:rFonts w:ascii="Arial" w:hAnsi="Arial" w:cs="Arial"/>
          <w:sz w:val="20"/>
          <w:szCs w:val="20"/>
          <w:lang w:eastAsia="cs-CZ"/>
        </w:rPr>
        <w:t xml:space="preserve">jsou ve sporu s prodávajícím, </w:t>
      </w:r>
      <w:r w:rsidR="00355E83" w:rsidRPr="002B6998">
        <w:rPr>
          <w:rFonts w:ascii="Arial" w:hAnsi="Arial" w:cs="Arial"/>
          <w:sz w:val="20"/>
          <w:szCs w:val="20"/>
          <w:lang w:eastAsia="cs-CZ"/>
        </w:rPr>
        <w:t>např. nesouhlasí se zamítnutím reklamace ze strany prodávajícího</w:t>
      </w:r>
      <w:r w:rsidR="00C830E2" w:rsidRPr="002B6998">
        <w:rPr>
          <w:rFonts w:ascii="Arial" w:hAnsi="Arial" w:cs="Arial"/>
          <w:sz w:val="20"/>
          <w:szCs w:val="20"/>
          <w:lang w:eastAsia="cs-CZ"/>
        </w:rPr>
        <w:t>, s výší naúčtované sankce</w:t>
      </w:r>
      <w:r>
        <w:rPr>
          <w:rFonts w:ascii="Arial" w:hAnsi="Arial" w:cs="Arial"/>
          <w:sz w:val="20"/>
          <w:szCs w:val="20"/>
          <w:lang w:eastAsia="cs-CZ"/>
        </w:rPr>
        <w:t>…</w:t>
      </w:r>
    </w:p>
    <w:p w:rsidR="00AF0F53" w:rsidRPr="002B6998" w:rsidRDefault="002D0EE0" w:rsidP="005F5ADB">
      <w:pPr>
        <w:jc w:val="both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lang w:eastAsia="cs-CZ"/>
        </w:rPr>
        <w:t>I</w:t>
      </w:r>
      <w:r w:rsidR="00AF0F53" w:rsidRPr="002B6998">
        <w:rPr>
          <w:rFonts w:ascii="Arial" w:hAnsi="Arial" w:cs="Arial"/>
          <w:b/>
          <w:sz w:val="20"/>
          <w:szCs w:val="20"/>
          <w:lang w:eastAsia="cs-CZ"/>
        </w:rPr>
        <w:t>nformační povinnosti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5F5ADB" w:rsidRPr="002D0EE0" w:rsidRDefault="002D0EE0" w:rsidP="005F5ADB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b/>
          <w:color w:val="3F505E"/>
          <w:sz w:val="20"/>
          <w:szCs w:val="20"/>
          <w:lang w:eastAsia="cs-CZ"/>
        </w:rPr>
      </w:pPr>
      <w:r w:rsidRPr="002D0EE0">
        <w:rPr>
          <w:rFonts w:ascii="Arial" w:hAnsi="Arial" w:cs="Arial"/>
          <w:b/>
          <w:color w:val="000000"/>
          <w:sz w:val="20"/>
          <w:szCs w:val="20"/>
        </w:rPr>
        <w:t xml:space="preserve">Podnikatelé mají určité povinnosti </w:t>
      </w:r>
      <w:r w:rsidR="005F5ADB" w:rsidRPr="002D0EE0">
        <w:rPr>
          <w:rFonts w:ascii="Arial" w:hAnsi="Arial" w:cs="Arial"/>
          <w:b/>
          <w:color w:val="000000"/>
          <w:sz w:val="20"/>
          <w:szCs w:val="20"/>
        </w:rPr>
        <w:t xml:space="preserve">i v případě, že aktuálně žádný spor </w:t>
      </w:r>
      <w:r w:rsidR="00C830E2" w:rsidRPr="002D0EE0">
        <w:rPr>
          <w:rFonts w:ascii="Arial" w:hAnsi="Arial" w:cs="Arial"/>
          <w:b/>
          <w:color w:val="000000"/>
          <w:sz w:val="20"/>
          <w:szCs w:val="20"/>
        </w:rPr>
        <w:t xml:space="preserve">se spotřebitelem </w:t>
      </w:r>
      <w:r w:rsidR="005F5ADB" w:rsidRPr="002D0EE0">
        <w:rPr>
          <w:rFonts w:ascii="Arial" w:hAnsi="Arial" w:cs="Arial"/>
          <w:b/>
          <w:color w:val="000000"/>
          <w:sz w:val="20"/>
          <w:szCs w:val="20"/>
        </w:rPr>
        <w:t>neřeší, zákon jim</w:t>
      </w:r>
      <w:r w:rsidR="00C830E2" w:rsidRPr="002D0EE0">
        <w:rPr>
          <w:rFonts w:ascii="Arial" w:hAnsi="Arial" w:cs="Arial"/>
          <w:b/>
          <w:color w:val="000000"/>
          <w:sz w:val="20"/>
          <w:szCs w:val="20"/>
        </w:rPr>
        <w:t xml:space="preserve"> totiž </w:t>
      </w:r>
      <w:r w:rsidR="00355E83" w:rsidRPr="002D0EE0">
        <w:rPr>
          <w:rFonts w:ascii="Arial" w:hAnsi="Arial" w:cs="Arial"/>
          <w:b/>
          <w:color w:val="000000"/>
          <w:sz w:val="20"/>
          <w:szCs w:val="20"/>
        </w:rPr>
        <w:t>ukládá řadu informačních povinností, jejichž c</w:t>
      </w:r>
      <w:r w:rsidR="005F5ADB" w:rsidRPr="002D0EE0">
        <w:rPr>
          <w:rFonts w:ascii="Arial" w:hAnsi="Arial" w:cs="Arial"/>
          <w:b/>
          <w:color w:val="000000"/>
          <w:sz w:val="20"/>
          <w:szCs w:val="20"/>
        </w:rPr>
        <w:t>ílem jednoznačně je, aby spotřebitelé o možnosti řešit spor v rámci tohoto systému</w:t>
      </w:r>
      <w:r w:rsidR="00C830E2" w:rsidRPr="002D0EE0">
        <w:rPr>
          <w:rFonts w:ascii="Arial" w:hAnsi="Arial" w:cs="Arial"/>
          <w:b/>
          <w:color w:val="000000"/>
          <w:sz w:val="20"/>
          <w:szCs w:val="20"/>
        </w:rPr>
        <w:t xml:space="preserve"> dopředu</w:t>
      </w:r>
      <w:r w:rsidR="005F5ADB" w:rsidRPr="002D0EE0">
        <w:rPr>
          <w:rFonts w:ascii="Arial" w:hAnsi="Arial" w:cs="Arial"/>
          <w:b/>
          <w:color w:val="000000"/>
          <w:sz w:val="20"/>
          <w:szCs w:val="20"/>
        </w:rPr>
        <w:t xml:space="preserve"> věděli!</w:t>
      </w:r>
    </w:p>
    <w:p w:rsidR="002D0EE0" w:rsidRDefault="00BF5017" w:rsidP="00C830E2">
      <w:p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Prodávající</w:t>
      </w:r>
      <w:r w:rsidR="002D3C49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či poskytovatel služeb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  <w:r w:rsidR="00D77888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má povinnost informovat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spotřebitele jasným, srozumitelným a snadno dostupným způsobem o</w:t>
      </w:r>
      <w:r w:rsidR="00D77888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věcně příslušném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 subjektu mimosoudníh</w:t>
      </w:r>
      <w:r w:rsidR="00A434A4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o řešení spotřebitelských sporů</w:t>
      </w:r>
      <w:r w:rsidR="00C830E2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, přičemž ve většině případů se bude jednat o Českou obchodní inspekci. T</w:t>
      </w:r>
      <w:r w:rsidR="00A434A4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ato informace musí zahrnovat i internetovou adresu tohoto</w:t>
      </w:r>
      <w:r w:rsidR="002D3C49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subjektu. Jestliže </w:t>
      </w:r>
      <w:r w:rsidR="00C830E2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podnikatel </w:t>
      </w:r>
      <w:r w:rsidR="00A434A4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provozuje internetové stránky, musí uvést tyto informace i na</w:t>
      </w:r>
      <w:r w:rsidR="00C830E2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svých</w:t>
      </w:r>
      <w:r w:rsidR="00A434A4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internetových stránkách.</w:t>
      </w:r>
    </w:p>
    <w:p w:rsidR="00C830E2" w:rsidRPr="002B6998" w:rsidRDefault="00C830E2" w:rsidP="00C830E2">
      <w:p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Pozor pokud při uzavírání smluv se spotřebiteli odkazuje podnikatel na své obchodní podmínky, musí uvést informace také v</w:t>
      </w:r>
      <w:r w:rsidR="002D0EE0">
        <w:rPr>
          <w:rFonts w:ascii="Arial" w:eastAsia="Times New Roman" w:hAnsi="Arial" w:cs="Arial"/>
          <w:iCs/>
          <w:sz w:val="20"/>
          <w:szCs w:val="20"/>
          <w:lang w:eastAsia="cs-CZ"/>
        </w:rPr>
        <w:t> 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nich</w:t>
      </w:r>
      <w:r w:rsidR="002D0EE0">
        <w:rPr>
          <w:rFonts w:ascii="Arial" w:eastAsia="Times New Roman" w:hAnsi="Arial" w:cs="Arial"/>
          <w:iCs/>
          <w:sz w:val="20"/>
          <w:szCs w:val="20"/>
          <w:lang w:eastAsia="cs-CZ"/>
        </w:rPr>
        <w:t>.</w:t>
      </w:r>
    </w:p>
    <w:p w:rsidR="00C830E2" w:rsidRPr="002B6998" w:rsidRDefault="00C830E2" w:rsidP="00BF5017">
      <w:pP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Česká obchodní inspekce na svých stránkách zveřejnila možnou formulaci, kterou bude považovat za řádné splnění výše uvedené povinnosti. Není podmínkou použít přesně tuto formulaci, ale je možné se jí inspirovat:</w:t>
      </w:r>
    </w:p>
    <w:p w:rsidR="00BF5017" w:rsidRPr="00BF5017" w:rsidRDefault="00C830E2" w:rsidP="00C830E2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="00BF5017" w:rsidRPr="00BF5017">
        <w:rPr>
          <w:rFonts w:ascii="Arial" w:eastAsia="Times New Roman" w:hAnsi="Arial" w:cs="Arial"/>
          <w:i/>
          <w:sz w:val="20"/>
          <w:szCs w:val="20"/>
          <w:lang w:eastAsia="cs-CZ"/>
        </w:rPr>
        <w:t>„V případě, že dojde mezi námi a spotřebitelem ke vzniku spotřebitelského sporu z kupní smlouvy nebo ze smlouvy o poskytování služeb, který se nepodaří vyřešit vzájemnou dohodou, může spotřebitel podat návrh na mimosoudní řešení takového sporu určenému subjektu mimosoudního řešení spotřebitelských sporů, kterým je</w:t>
      </w:r>
    </w:p>
    <w:p w:rsidR="00BF5017" w:rsidRPr="00BF5017" w:rsidRDefault="00BF5017" w:rsidP="00C830E2">
      <w:pPr>
        <w:shd w:val="clear" w:color="auto" w:fill="FFFFFF"/>
        <w:spacing w:before="240" w:after="240" w:line="294" w:lineRule="atLeast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Česká obchodní inspekce</w:t>
      </w:r>
      <w:r w:rsidRPr="00BF5017">
        <w:rPr>
          <w:rFonts w:ascii="Arial" w:eastAsia="Times New Roman" w:hAnsi="Arial" w:cs="Arial"/>
          <w:i/>
          <w:sz w:val="20"/>
          <w:szCs w:val="20"/>
          <w:lang w:eastAsia="cs-CZ"/>
        </w:rPr>
        <w:br/>
      </w:r>
      <w:r w:rsidRPr="002B699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Ústřední inspektorát - oddělení ADR</w:t>
      </w:r>
      <w:r w:rsidRPr="00BF5017">
        <w:rPr>
          <w:rFonts w:ascii="Arial" w:eastAsia="Times New Roman" w:hAnsi="Arial" w:cs="Arial"/>
          <w:i/>
          <w:sz w:val="20"/>
          <w:szCs w:val="20"/>
          <w:lang w:eastAsia="cs-CZ"/>
        </w:rPr>
        <w:br/>
        <w:t>Štěpánská 15</w:t>
      </w:r>
      <w:r w:rsidR="002B699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r w:rsidRPr="00BF5017">
        <w:rPr>
          <w:rFonts w:ascii="Arial" w:eastAsia="Times New Roman" w:hAnsi="Arial" w:cs="Arial"/>
          <w:i/>
          <w:sz w:val="20"/>
          <w:szCs w:val="20"/>
          <w:lang w:eastAsia="cs-CZ"/>
        </w:rPr>
        <w:t>120 00 Praha 2</w:t>
      </w:r>
    </w:p>
    <w:p w:rsidR="00BF5017" w:rsidRPr="002B6998" w:rsidRDefault="00BF5017" w:rsidP="00BF5017">
      <w:pPr>
        <w:shd w:val="clear" w:color="auto" w:fill="FFFFFF"/>
        <w:spacing w:before="240" w:after="240" w:line="294" w:lineRule="atLeas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5017">
        <w:rPr>
          <w:rFonts w:ascii="Arial" w:eastAsia="Times New Roman" w:hAnsi="Arial" w:cs="Arial"/>
          <w:sz w:val="20"/>
          <w:szCs w:val="20"/>
          <w:lang w:eastAsia="cs-CZ"/>
        </w:rPr>
        <w:t>Email: </w:t>
      </w:r>
      <w:hyperlink r:id="rId7" w:tooltip="adr@coi.cz" w:history="1">
        <w:r w:rsidRPr="002B6998">
          <w:rPr>
            <w:rFonts w:ascii="Arial" w:eastAsia="Times New Roman" w:hAnsi="Arial" w:cs="Arial"/>
            <w:sz w:val="20"/>
            <w:szCs w:val="20"/>
            <w:lang w:eastAsia="cs-CZ"/>
          </w:rPr>
          <w:t>adr@coi.cz</w:t>
        </w:r>
      </w:hyperlink>
      <w:r w:rsidRPr="00BF5017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BF5017">
        <w:rPr>
          <w:rFonts w:ascii="Arial" w:eastAsia="Times New Roman" w:hAnsi="Arial" w:cs="Arial"/>
          <w:b/>
          <w:sz w:val="20"/>
          <w:szCs w:val="20"/>
          <w:lang w:eastAsia="cs-CZ"/>
        </w:rPr>
        <w:t>Web: </w:t>
      </w:r>
      <w:hyperlink r:id="rId8" w:tgtFrame="_blank" w:history="1">
        <w:r w:rsidRPr="002B6998">
          <w:rPr>
            <w:rFonts w:ascii="Arial" w:eastAsia="Times New Roman" w:hAnsi="Arial" w:cs="Arial"/>
            <w:b/>
            <w:sz w:val="20"/>
            <w:szCs w:val="20"/>
            <w:lang w:eastAsia="cs-CZ"/>
          </w:rPr>
          <w:t>adr.coi.cz</w:t>
        </w:r>
      </w:hyperlink>
      <w:r w:rsidRPr="002B6998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BF5017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:rsidR="002D0EE0" w:rsidRDefault="002D0EE0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ODR – Řešení sporů ze smluv uzavřených prostřednictvím internetu on-line</w:t>
      </w:r>
    </w:p>
    <w:p w:rsidR="002D0EE0" w:rsidRDefault="00BC72CD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Na webových stránkách podnikatelů</w:t>
      </w:r>
      <w:r w:rsidR="00344436" w:rsidRPr="002B6998">
        <w:rPr>
          <w:rFonts w:ascii="Arial" w:eastAsia="Times New Roman" w:hAnsi="Arial" w:cs="Arial"/>
          <w:sz w:val="20"/>
          <w:szCs w:val="20"/>
          <w:lang w:eastAsia="cs-CZ"/>
        </w:rPr>
        <w:t>, kteří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se spotřebiteli</w:t>
      </w:r>
      <w:r w:rsidR="00344436"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uzavírají smlouvy 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>prostřednictvím internetu (typicky</w:t>
      </w:r>
      <w:r w:rsidR="00344436"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e-</w:t>
      </w:r>
      <w:proofErr w:type="spellStart"/>
      <w:r w:rsidR="00344436" w:rsidRPr="002B6998">
        <w:rPr>
          <w:rFonts w:ascii="Arial" w:eastAsia="Times New Roman" w:hAnsi="Arial" w:cs="Arial"/>
          <w:sz w:val="20"/>
          <w:szCs w:val="20"/>
          <w:lang w:eastAsia="cs-CZ"/>
        </w:rPr>
        <w:t>shopy</w:t>
      </w:r>
      <w:proofErr w:type="spellEnd"/>
      <w:r w:rsidR="00344436" w:rsidRPr="002B699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a na stránkách internetových tržišť, musí spotřebitel snadno dostupným způsobem najít také odkaz na tzv. </w:t>
      </w:r>
      <w:r w:rsidRPr="002B6998">
        <w:rPr>
          <w:rFonts w:ascii="Arial" w:eastAsia="Times New Roman" w:hAnsi="Arial" w:cs="Arial"/>
          <w:b/>
          <w:sz w:val="20"/>
          <w:szCs w:val="20"/>
          <w:lang w:eastAsia="cs-CZ"/>
        </w:rPr>
        <w:t>platformu pro řešení sporů on-line</w:t>
      </w:r>
      <w:r w:rsidR="00AF0F53"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, pokud je nabídka učiněna emailem </w:t>
      </w:r>
      <w:r w:rsidR="00AF0F53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pak odkaz musí spotřebitel najít v uvedeném e-mailu</w:t>
      </w:r>
      <w:r w:rsidR="00AF0F53" w:rsidRPr="002B6998">
        <w:rPr>
          <w:rFonts w:ascii="Arial" w:eastAsia="Times New Roman" w:hAnsi="Arial" w:cs="Arial"/>
          <w:i/>
          <w:iCs/>
          <w:color w:val="3F505E"/>
          <w:sz w:val="20"/>
          <w:szCs w:val="20"/>
          <w:lang w:eastAsia="cs-CZ"/>
        </w:rPr>
        <w:t>.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F0F53" w:rsidRPr="002B6998" w:rsidRDefault="00BC72CD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BF5017">
        <w:rPr>
          <w:rFonts w:ascii="Arial" w:eastAsia="Times New Roman" w:hAnsi="Arial" w:cs="Arial"/>
          <w:sz w:val="20"/>
          <w:szCs w:val="20"/>
          <w:lang w:eastAsia="cs-CZ"/>
        </w:rPr>
        <w:t>Platfo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>rma pro řešení sporů online byla</w:t>
      </w:r>
      <w:r w:rsidRPr="00BF5017">
        <w:rPr>
          <w:rFonts w:ascii="Arial" w:eastAsia="Times New Roman" w:hAnsi="Arial" w:cs="Arial"/>
          <w:sz w:val="20"/>
          <w:szCs w:val="20"/>
          <w:lang w:eastAsia="cs-CZ"/>
        </w:rPr>
        <w:t xml:space="preserve"> Evropskou komisí spuštěna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F5017">
        <w:rPr>
          <w:rFonts w:ascii="Arial" w:eastAsia="Times New Roman" w:hAnsi="Arial" w:cs="Arial"/>
          <w:sz w:val="20"/>
          <w:szCs w:val="20"/>
          <w:lang w:eastAsia="cs-CZ"/>
        </w:rPr>
        <w:t>na internetové adrese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9" w:history="1">
        <w:r w:rsidRPr="002B6998">
          <w:rPr>
            <w:rFonts w:ascii="Arial" w:eastAsia="Times New Roman" w:hAnsi="Arial" w:cs="Arial"/>
            <w:b/>
            <w:sz w:val="20"/>
            <w:szCs w:val="20"/>
            <w:lang w:eastAsia="cs-CZ"/>
          </w:rPr>
          <w:t>http://ec.europa.eu/consumers/odr/</w:t>
        </w:r>
      </w:hyperlink>
      <w:r w:rsidR="00AF0F53" w:rsidRPr="002B699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  <w:r w:rsidR="00AF0F53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Pozor pouhý odkaz však nestačí, spotřebitelé musí být řádně informováni o existenci platformy pro řešení sporů on-line a o možnosti jejího využití při řešení jejich sporů. Tito podnikatelé jsou povinni uvést taktéž svou e-mailovou adresu.</w:t>
      </w:r>
      <w:r w:rsidR="00AF0F53" w:rsidRPr="002B6998">
        <w:rPr>
          <w:rStyle w:val="Znakapoznpodarou"/>
          <w:rFonts w:ascii="Arial" w:eastAsia="Times New Roman" w:hAnsi="Arial" w:cs="Arial"/>
          <w:iCs/>
          <w:sz w:val="20"/>
          <w:szCs w:val="20"/>
          <w:lang w:eastAsia="cs-CZ"/>
        </w:rPr>
        <w:footnoteReference w:id="1"/>
      </w:r>
    </w:p>
    <w:p w:rsidR="00AF0F53" w:rsidRPr="002B6998" w:rsidRDefault="00AF0F53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Výše uvedenou informaci je pak vhodné doplnit např. o toto poučení:</w:t>
      </w:r>
    </w:p>
    <w:p w:rsidR="00BF5017" w:rsidRPr="002B6998" w:rsidRDefault="00BF5017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BF5017">
        <w:rPr>
          <w:rFonts w:ascii="Arial" w:eastAsia="Times New Roman" w:hAnsi="Arial" w:cs="Arial"/>
          <w:i/>
          <w:sz w:val="20"/>
          <w:szCs w:val="20"/>
          <w:lang w:eastAsia="cs-CZ"/>
        </w:rPr>
        <w:t>Spotřebitel může využít rovněž pla</w:t>
      </w:r>
      <w:r w:rsidR="002D0EE0">
        <w:rPr>
          <w:rFonts w:ascii="Arial" w:eastAsia="Times New Roman" w:hAnsi="Arial" w:cs="Arial"/>
          <w:i/>
          <w:sz w:val="20"/>
          <w:szCs w:val="20"/>
          <w:lang w:eastAsia="cs-CZ"/>
        </w:rPr>
        <w:t>tformu pro řešení sporů online, k</w:t>
      </w:r>
      <w:r w:rsidRPr="00BF5017">
        <w:rPr>
          <w:rFonts w:ascii="Arial" w:eastAsia="Times New Roman" w:hAnsi="Arial" w:cs="Arial"/>
          <w:i/>
          <w:sz w:val="20"/>
          <w:szCs w:val="20"/>
          <w:lang w:eastAsia="cs-CZ"/>
        </w:rPr>
        <w:t>terá je zřízena Evropskou komisí na adrese </w:t>
      </w:r>
      <w:hyperlink r:id="rId10" w:history="1">
        <w:r w:rsidRPr="002B6998">
          <w:rPr>
            <w:rFonts w:ascii="Arial" w:eastAsia="Times New Roman" w:hAnsi="Arial" w:cs="Arial"/>
            <w:i/>
            <w:sz w:val="20"/>
            <w:szCs w:val="20"/>
            <w:lang w:eastAsia="cs-CZ"/>
          </w:rPr>
          <w:t>http://ec.europa.eu/consumers/odr/</w:t>
        </w:r>
      </w:hyperlink>
      <w:r w:rsidR="00AF0F53" w:rsidRPr="002B6998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:rsidR="00AF0F53" w:rsidRPr="00BF5017" w:rsidRDefault="00D67F06" w:rsidP="00AF0F53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b/>
          <w:sz w:val="20"/>
          <w:szCs w:val="20"/>
          <w:lang w:eastAsia="cs-CZ"/>
        </w:rPr>
        <w:t>Když se rozhoří spor</w:t>
      </w:r>
    </w:p>
    <w:p w:rsidR="00BF5017" w:rsidRPr="002B6998" w:rsidRDefault="00D67F06" w:rsidP="00D67F06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Pokud prodávající a spotřebitel nedokáží svůj spor urovnat přímo</w:t>
      </w:r>
      <w:r w:rsidR="00BF5017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, 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zkrátka se nedokáží sami domluvit a hrozí tak soudní spor, je prodávající povinen poskytnout</w:t>
      </w:r>
      <w:r w:rsidR="00BF5017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spotřebiteli</w:t>
      </w:r>
      <w:r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znovu všechny výše uvedené informace také </w:t>
      </w:r>
      <w:r w:rsidR="00BF5017" w:rsidRPr="002B6998">
        <w:rPr>
          <w:rFonts w:ascii="Arial" w:eastAsia="Times New Roman" w:hAnsi="Arial" w:cs="Arial"/>
          <w:iCs/>
          <w:sz w:val="20"/>
          <w:szCs w:val="20"/>
          <w:lang w:eastAsia="cs-CZ"/>
        </w:rPr>
        <w:t>v listinné podobě nebo na jiném trvalém nosiči dat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2B6998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</w:p>
    <w:p w:rsidR="00D67F06" w:rsidRDefault="00D67F06" w:rsidP="00D67F06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sz w:val="20"/>
          <w:szCs w:val="20"/>
          <w:lang w:eastAsia="cs-CZ"/>
        </w:rPr>
        <w:t>Spotřebitel tak musí být znovu informován pro případ, že by informaci na</w:t>
      </w:r>
      <w:r w:rsidR="00AF6D3F"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webových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 stránkách či v obchodních </w:t>
      </w:r>
      <w:r w:rsidR="00AF6D3F" w:rsidRPr="002B6998">
        <w:rPr>
          <w:rFonts w:ascii="Arial" w:eastAsia="Times New Roman" w:hAnsi="Arial" w:cs="Arial"/>
          <w:sz w:val="20"/>
          <w:szCs w:val="20"/>
          <w:lang w:eastAsia="cs-CZ"/>
        </w:rPr>
        <w:t>podmínkách přehlédl, což s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e </w:t>
      </w:r>
      <w:r w:rsidR="00AF6D3F" w:rsidRPr="002B6998">
        <w:rPr>
          <w:rFonts w:ascii="Arial" w:eastAsia="Times New Roman" w:hAnsi="Arial" w:cs="Arial"/>
          <w:sz w:val="20"/>
          <w:szCs w:val="20"/>
          <w:lang w:eastAsia="cs-CZ"/>
        </w:rPr>
        <w:t xml:space="preserve">vzhledem k běžnému rozsahu obchodních podmínek může stát. 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>Podnikatelům doporučujeme si předání informace spotřebiteli řádně zdok</w:t>
      </w:r>
      <w:r w:rsidR="002D0EE0">
        <w:rPr>
          <w:rFonts w:ascii="Arial" w:eastAsia="Times New Roman" w:hAnsi="Arial" w:cs="Arial"/>
          <w:sz w:val="20"/>
          <w:szCs w:val="20"/>
          <w:lang w:eastAsia="cs-CZ"/>
        </w:rPr>
        <w:t>umentovat</w:t>
      </w:r>
      <w:r w:rsidRPr="002B6998">
        <w:rPr>
          <w:rFonts w:ascii="Arial" w:eastAsia="Times New Roman" w:hAnsi="Arial" w:cs="Arial"/>
          <w:sz w:val="20"/>
          <w:szCs w:val="20"/>
          <w:lang w:eastAsia="cs-CZ"/>
        </w:rPr>
        <w:t>, a to z toho důvodu, že dokazování splnění této povinnosti bude ležet na něm.</w:t>
      </w:r>
    </w:p>
    <w:p w:rsidR="002B6998" w:rsidRDefault="002B6998" w:rsidP="00D67F06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b/>
          <w:sz w:val="20"/>
          <w:szCs w:val="20"/>
          <w:lang w:eastAsia="cs-CZ"/>
        </w:rPr>
        <w:t>S Českou obchodní inspekcí komunikujte!</w:t>
      </w:r>
    </w:p>
    <w:p w:rsidR="00A707EF" w:rsidRPr="007E3BAF" w:rsidRDefault="00A707EF" w:rsidP="00A707EF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E3BAF">
        <w:rPr>
          <w:rFonts w:ascii="Arial" w:eastAsia="Times New Roman" w:hAnsi="Arial" w:cs="Arial"/>
          <w:sz w:val="20"/>
          <w:szCs w:val="20"/>
          <w:lang w:eastAsia="cs-CZ"/>
        </w:rPr>
        <w:t>V České republice může návrh na zahájení mimosoudního řešení spo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>ru</w:t>
      </w:r>
      <w:r w:rsidRPr="007E3BAF">
        <w:rPr>
          <w:rFonts w:ascii="Arial" w:eastAsia="Times New Roman" w:hAnsi="Arial" w:cs="Arial"/>
          <w:sz w:val="20"/>
          <w:szCs w:val="20"/>
          <w:lang w:eastAsia="cs-CZ"/>
        </w:rPr>
        <w:t xml:space="preserve"> před 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>Českou obchodní inspekcí</w:t>
      </w:r>
      <w:r w:rsidR="002D0EE0">
        <w:rPr>
          <w:rFonts w:ascii="Arial" w:eastAsia="Times New Roman" w:hAnsi="Arial" w:cs="Arial"/>
          <w:sz w:val="20"/>
          <w:szCs w:val="20"/>
          <w:lang w:eastAsia="cs-CZ"/>
        </w:rPr>
        <w:t xml:space="preserve"> podat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 xml:space="preserve"> pouze spotřebitel. P</w:t>
      </w:r>
      <w:r w:rsidRPr="007E3BAF">
        <w:rPr>
          <w:rFonts w:ascii="Arial" w:eastAsia="Times New Roman" w:hAnsi="Arial" w:cs="Arial"/>
          <w:sz w:val="20"/>
          <w:szCs w:val="20"/>
          <w:lang w:eastAsia="cs-CZ"/>
        </w:rPr>
        <w:t>odnikatel bohužel nemůže být iniciátorem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 xml:space="preserve"> a sám podat návrh na jeho zahájení, má však </w:t>
      </w:r>
      <w:r w:rsidR="007E3BAF" w:rsidRPr="00BF5017">
        <w:rPr>
          <w:rFonts w:ascii="Arial" w:eastAsia="Times New Roman" w:hAnsi="Arial" w:cs="Arial"/>
          <w:sz w:val="20"/>
          <w:szCs w:val="20"/>
          <w:lang w:eastAsia="cs-CZ"/>
        </w:rPr>
        <w:t xml:space="preserve">povinnost 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>v případě, že tak učiní spotřebitel, s orgánem ADR ú</w:t>
      </w:r>
      <w:r w:rsidR="007E3BAF" w:rsidRPr="00BF5017">
        <w:rPr>
          <w:rFonts w:ascii="Arial" w:eastAsia="Times New Roman" w:hAnsi="Arial" w:cs="Arial"/>
          <w:sz w:val="20"/>
          <w:szCs w:val="20"/>
          <w:lang w:eastAsia="cs-CZ"/>
        </w:rPr>
        <w:t>zce spolupracovat a pos</w:t>
      </w:r>
      <w:r w:rsidR="007E3BAF">
        <w:rPr>
          <w:rFonts w:ascii="Arial" w:eastAsia="Times New Roman" w:hAnsi="Arial" w:cs="Arial"/>
          <w:sz w:val="20"/>
          <w:szCs w:val="20"/>
          <w:lang w:eastAsia="cs-CZ"/>
        </w:rPr>
        <w:t xml:space="preserve">kytnout 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 xml:space="preserve">součinnost </w:t>
      </w:r>
      <w:r w:rsidR="007E3BAF" w:rsidRPr="00BF5017">
        <w:rPr>
          <w:rFonts w:ascii="Arial" w:eastAsia="Times New Roman" w:hAnsi="Arial" w:cs="Arial"/>
          <w:sz w:val="20"/>
          <w:szCs w:val="20"/>
          <w:lang w:eastAsia="cs-CZ"/>
        </w:rPr>
        <w:t>potřebnou k efektivnímu průběhu mimosoudního řešení spotřeb</w:t>
      </w:r>
      <w:r w:rsidR="007E3BAF" w:rsidRPr="007E3BAF">
        <w:rPr>
          <w:rFonts w:ascii="Arial" w:eastAsia="Times New Roman" w:hAnsi="Arial" w:cs="Arial"/>
          <w:sz w:val="20"/>
          <w:szCs w:val="20"/>
          <w:lang w:eastAsia="cs-CZ"/>
        </w:rPr>
        <w:t>itelského sporu.</w:t>
      </w:r>
      <w:r w:rsidR="007E3BA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707EF" w:rsidRDefault="00A707EF" w:rsidP="00A707EF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707EF">
        <w:rPr>
          <w:rFonts w:ascii="Arial" w:eastAsia="Times New Roman" w:hAnsi="Arial" w:cs="Arial"/>
          <w:sz w:val="20"/>
          <w:szCs w:val="20"/>
          <w:lang w:eastAsia="cs-CZ"/>
        </w:rPr>
        <w:t xml:space="preserve">Pozor v případě, že bude podnikatel Českou obchodní inspekcí vyrozuměn o tom, že spotřebitel využil svého práva a obrátil se na orgán ADR s návrhem na mimosoudní řešení sporu, má podnikatel povinnost se k návrhu spotřebitele vyjádřit a to </w:t>
      </w:r>
      <w:r w:rsidRPr="00BF5017">
        <w:rPr>
          <w:rFonts w:ascii="Arial" w:eastAsia="Times New Roman" w:hAnsi="Arial" w:cs="Arial"/>
          <w:sz w:val="20"/>
          <w:szCs w:val="20"/>
          <w:lang w:eastAsia="cs-CZ"/>
        </w:rPr>
        <w:t>do 15 pracovních dnů</w:t>
      </w:r>
      <w:r w:rsidRPr="00A707EF">
        <w:rPr>
          <w:rFonts w:ascii="Arial" w:eastAsia="Times New Roman" w:hAnsi="Arial" w:cs="Arial"/>
          <w:sz w:val="20"/>
          <w:szCs w:val="20"/>
          <w:lang w:eastAsia="cs-CZ"/>
        </w:rPr>
        <w:t>!</w:t>
      </w:r>
    </w:p>
    <w:p w:rsidR="007E3BAF" w:rsidRDefault="007E3BAF" w:rsidP="00A707EF">
      <w:pPr>
        <w:shd w:val="clear" w:color="auto" w:fill="FFFFFF"/>
        <w:spacing w:before="240" w:after="240" w:line="294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E3BAF">
        <w:rPr>
          <w:rFonts w:ascii="Arial" w:eastAsia="Times New Roman" w:hAnsi="Arial" w:cs="Arial"/>
          <w:sz w:val="20"/>
          <w:szCs w:val="20"/>
          <w:lang w:eastAsia="cs-CZ"/>
        </w:rPr>
        <w:t>Překvapit podnikatele mohou i spory, které měli již za zapomenuté, spotřebitelé mohou svůj</w:t>
      </w:r>
      <w:r w:rsidRPr="007E3BAF">
        <w:rPr>
          <w:rFonts w:ascii="Arial" w:hAnsi="Arial" w:cs="Arial"/>
          <w:color w:val="000000"/>
          <w:sz w:val="20"/>
          <w:szCs w:val="20"/>
        </w:rPr>
        <w:t xml:space="preserve"> návrh </w:t>
      </w:r>
      <w:r>
        <w:rPr>
          <w:rFonts w:ascii="Arial" w:hAnsi="Arial" w:cs="Arial"/>
          <w:color w:val="000000"/>
          <w:sz w:val="20"/>
          <w:szCs w:val="20"/>
        </w:rPr>
        <w:t xml:space="preserve">ČOI </w:t>
      </w:r>
      <w:r w:rsidRPr="007E3BAF">
        <w:rPr>
          <w:rFonts w:ascii="Arial" w:hAnsi="Arial" w:cs="Arial"/>
          <w:color w:val="000000"/>
          <w:sz w:val="20"/>
          <w:szCs w:val="20"/>
        </w:rPr>
        <w:t>podat do 1 roku ode dne, kdy u prodávajícího uplatnili své právo poprvé.</w:t>
      </w:r>
    </w:p>
    <w:p w:rsidR="00FD67F2" w:rsidRPr="00BF5017" w:rsidRDefault="00FD67F2" w:rsidP="00A707EF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67F2">
        <w:rPr>
          <w:rFonts w:ascii="Arial" w:hAnsi="Arial" w:cs="Arial"/>
          <w:color w:val="000000"/>
          <w:sz w:val="20"/>
          <w:szCs w:val="20"/>
        </w:rPr>
        <w:lastRenderedPageBreak/>
        <w:t>Úkolem ČOI</w:t>
      </w:r>
      <w:r>
        <w:rPr>
          <w:rFonts w:ascii="Arial" w:hAnsi="Arial" w:cs="Arial"/>
          <w:color w:val="000000"/>
          <w:sz w:val="20"/>
          <w:szCs w:val="20"/>
        </w:rPr>
        <w:t xml:space="preserve"> není nahradit soudní orgán</w:t>
      </w:r>
      <w:r w:rsidRPr="00FD67F2">
        <w:rPr>
          <w:rFonts w:ascii="Arial" w:hAnsi="Arial" w:cs="Arial"/>
          <w:color w:val="000000"/>
          <w:sz w:val="20"/>
          <w:szCs w:val="20"/>
        </w:rPr>
        <w:t xml:space="preserve">, ale podpořit strany sporu </w:t>
      </w:r>
      <w:r>
        <w:rPr>
          <w:rFonts w:ascii="Arial" w:hAnsi="Arial" w:cs="Arial"/>
          <w:color w:val="000000"/>
          <w:sz w:val="20"/>
          <w:szCs w:val="20"/>
        </w:rPr>
        <w:t xml:space="preserve">ve vzájemné komunikaci </w:t>
      </w:r>
      <w:r w:rsidRPr="00FD67F2">
        <w:rPr>
          <w:rFonts w:ascii="Arial" w:hAnsi="Arial" w:cs="Arial"/>
          <w:color w:val="000000"/>
          <w:sz w:val="20"/>
          <w:szCs w:val="20"/>
        </w:rPr>
        <w:t>a dovézt je k vzájemné dohodě. ČOI tak nebude ve sporu rozhodovat. Cílem celého procesu je uzavření společné dohody stran sporu. Pokud k dohodě nedojde, mohou se strany stále obrátit na nezávislý soud.</w:t>
      </w:r>
    </w:p>
    <w:p w:rsidR="00A707EF" w:rsidRPr="007E3BAF" w:rsidRDefault="00A707EF" w:rsidP="007E3BAF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Mimosoudní řešení sporů před Českou obchodní inspekcí je pro obě strany bezplatné, každá strana si nese své vlastní náklad</w:t>
      </w:r>
      <w:r w:rsidR="002D0EE0">
        <w:rPr>
          <w:rFonts w:ascii="Arial" w:eastAsia="Times New Roman" w:hAnsi="Arial" w:cs="Arial"/>
          <w:sz w:val="20"/>
          <w:szCs w:val="20"/>
          <w:lang w:eastAsia="cs-CZ"/>
        </w:rPr>
        <w:t xml:space="preserve">y s tímto procesem spojené. </w:t>
      </w:r>
    </w:p>
    <w:p w:rsidR="002B6998" w:rsidRPr="002B6998" w:rsidRDefault="002B6998" w:rsidP="00D67F06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Sankce</w:t>
      </w:r>
    </w:p>
    <w:p w:rsidR="00AF6D3F" w:rsidRPr="002B6998" w:rsidRDefault="00AF6D3F" w:rsidP="00AF6D3F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Výše uvedené povinnosti není radno podceňovat, za jejich porušení</w:t>
      </w:r>
      <w:r w:rsid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, které je správním deliktem,</w:t>
      </w:r>
      <w:r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</w:t>
      </w:r>
      <w:r w:rsid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hrozí </w:t>
      </w:r>
      <w:r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podnikatelům</w:t>
      </w:r>
      <w:r w:rsidR="002B6998"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 xml:space="preserve"> od </w:t>
      </w:r>
      <w:r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České obchodní inspekce, která nad jejich dodržováním bude vykonávat dozor, poměrně vysoké pokuty</w:t>
      </w:r>
      <w:r w:rsid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, které mohou dosáhnout v nejzávažnějších případech až 1 milionu Korun</w:t>
      </w:r>
      <w:r w:rsidRPr="002B6998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.</w:t>
      </w:r>
    </w:p>
    <w:sectPr w:rsidR="00AF6D3F" w:rsidRPr="002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AB" w:rsidRDefault="00AB37AB" w:rsidP="00AF0F53">
      <w:pPr>
        <w:spacing w:after="0" w:line="240" w:lineRule="auto"/>
      </w:pPr>
      <w:r>
        <w:separator/>
      </w:r>
    </w:p>
  </w:endnote>
  <w:endnote w:type="continuationSeparator" w:id="0">
    <w:p w:rsidR="00AB37AB" w:rsidRDefault="00AB37AB" w:rsidP="00AF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AB" w:rsidRDefault="00AB37AB" w:rsidP="00AF0F53">
      <w:pPr>
        <w:spacing w:after="0" w:line="240" w:lineRule="auto"/>
      </w:pPr>
      <w:r>
        <w:separator/>
      </w:r>
    </w:p>
  </w:footnote>
  <w:footnote w:type="continuationSeparator" w:id="0">
    <w:p w:rsidR="00AB37AB" w:rsidRDefault="00AB37AB" w:rsidP="00AF0F53">
      <w:pPr>
        <w:spacing w:after="0" w:line="240" w:lineRule="auto"/>
      </w:pPr>
      <w:r>
        <w:continuationSeparator/>
      </w:r>
    </w:p>
  </w:footnote>
  <w:footnote w:id="1">
    <w:p w:rsidR="00AF0F53" w:rsidRPr="00BF5017" w:rsidRDefault="00AF0F53" w:rsidP="00D67F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67F06">
        <w:rPr>
          <w:rStyle w:val="Znakapoznpodarou"/>
          <w:sz w:val="20"/>
          <w:szCs w:val="20"/>
        </w:rPr>
        <w:footnoteRef/>
      </w:r>
      <w:r w:rsidRPr="00D67F06">
        <w:rPr>
          <w:sz w:val="20"/>
          <w:szCs w:val="20"/>
        </w:rPr>
        <w:t xml:space="preserve"> </w:t>
      </w:r>
      <w:r w:rsidRPr="00BF5017">
        <w:rPr>
          <w:rFonts w:ascii="Arial" w:eastAsia="Times New Roman" w:hAnsi="Arial" w:cs="Arial"/>
          <w:sz w:val="20"/>
          <w:szCs w:val="20"/>
          <w:lang w:eastAsia="cs-CZ"/>
        </w:rPr>
        <w:t>Nařízení Evropského parlamentu a Rady (EU) č. 524/2013 o řešení spotřebitelských sporů on-line.</w:t>
      </w:r>
    </w:p>
    <w:p w:rsidR="00AF0F53" w:rsidRPr="00D67F06" w:rsidRDefault="00AF0F53" w:rsidP="00D67F06">
      <w:pPr>
        <w:pStyle w:val="Textpoznpodarou"/>
      </w:pPr>
    </w:p>
  </w:footnote>
  <w:footnote w:id="2">
    <w:p w:rsidR="00D67F06" w:rsidRPr="00D67F06" w:rsidRDefault="00D67F06" w:rsidP="00D67F06">
      <w:pPr>
        <w:shd w:val="clear" w:color="auto" w:fill="FFFFFF"/>
        <w:spacing w:before="240" w:after="240" w:line="294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67F06">
        <w:rPr>
          <w:rStyle w:val="Znakapoznpodarou"/>
          <w:sz w:val="20"/>
          <w:szCs w:val="20"/>
        </w:rPr>
        <w:footnoteRef/>
      </w:r>
      <w:r w:rsidRPr="00D67F06">
        <w:rPr>
          <w:sz w:val="20"/>
          <w:szCs w:val="20"/>
        </w:rPr>
        <w:t xml:space="preserve"> </w:t>
      </w:r>
      <w:r w:rsidRPr="00BF5017">
        <w:rPr>
          <w:rFonts w:ascii="Arial" w:eastAsia="Times New Roman" w:hAnsi="Arial" w:cs="Arial"/>
          <w:sz w:val="20"/>
          <w:szCs w:val="20"/>
          <w:lang w:eastAsia="cs-CZ"/>
        </w:rPr>
        <w:t>Trvalým nosičem dat je jakýkoli nástroj, který umožňuje spotřebiteli nebo obchodníkovi ukládat informace určené jemu osobně, a to způsobem vhodným pro jejich budoucí použití, po dobu přiměřenou jejich účelu, a který umožňuje reprodukci uložených informací v nezměněné</w:t>
      </w:r>
      <w:r w:rsidRPr="00D67F06">
        <w:rPr>
          <w:rFonts w:ascii="Arial" w:eastAsia="Times New Roman" w:hAnsi="Arial" w:cs="Arial"/>
          <w:sz w:val="20"/>
          <w:szCs w:val="20"/>
          <w:lang w:eastAsia="cs-CZ"/>
        </w:rPr>
        <w:t xml:space="preserve">m stavu. </w:t>
      </w:r>
    </w:p>
    <w:p w:rsidR="00D67F06" w:rsidRPr="00D67F06" w:rsidRDefault="00D67F06" w:rsidP="00D67F06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1C"/>
    <w:rsid w:val="000B2530"/>
    <w:rsid w:val="00176920"/>
    <w:rsid w:val="002B6998"/>
    <w:rsid w:val="002D0EE0"/>
    <w:rsid w:val="002D3C49"/>
    <w:rsid w:val="002D7323"/>
    <w:rsid w:val="002E21CA"/>
    <w:rsid w:val="00344436"/>
    <w:rsid w:val="00355E83"/>
    <w:rsid w:val="003816C1"/>
    <w:rsid w:val="0038331C"/>
    <w:rsid w:val="00427D4C"/>
    <w:rsid w:val="004D277A"/>
    <w:rsid w:val="00534B8E"/>
    <w:rsid w:val="00561C76"/>
    <w:rsid w:val="00592A35"/>
    <w:rsid w:val="005F5ADB"/>
    <w:rsid w:val="007E3BAF"/>
    <w:rsid w:val="00A434A4"/>
    <w:rsid w:val="00A707EF"/>
    <w:rsid w:val="00AB37AB"/>
    <w:rsid w:val="00AF0F53"/>
    <w:rsid w:val="00AF6D3F"/>
    <w:rsid w:val="00B5671A"/>
    <w:rsid w:val="00BC72CD"/>
    <w:rsid w:val="00BF5017"/>
    <w:rsid w:val="00C830E2"/>
    <w:rsid w:val="00CE3F49"/>
    <w:rsid w:val="00D67F06"/>
    <w:rsid w:val="00D77888"/>
    <w:rsid w:val="00E60231"/>
    <w:rsid w:val="00EA10FA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D9440-06B7-4406-B956-7C10598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31C"/>
  </w:style>
  <w:style w:type="paragraph" w:styleId="Nadpis1">
    <w:name w:val="heading 1"/>
    <w:basedOn w:val="Normln"/>
    <w:link w:val="Nadpis1Char"/>
    <w:uiPriority w:val="9"/>
    <w:qFormat/>
    <w:rsid w:val="00BF5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5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F5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0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50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F50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F5017"/>
    <w:rPr>
      <w:i/>
      <w:iCs/>
    </w:rPr>
  </w:style>
  <w:style w:type="character" w:styleId="Siln">
    <w:name w:val="Strong"/>
    <w:basedOn w:val="Standardnpsmoodstavce"/>
    <w:uiPriority w:val="22"/>
    <w:qFormat/>
    <w:rsid w:val="00BF501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F501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F501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0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0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0F5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6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co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.cz/cz/pro-podnikatele/informace-pro-prodejce/mimosoudni-reseni-spotrebitelskych-sporu-ad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.europa.eu/consumers/od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consumers/od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584D-B01F-4986-9B23-EF057746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Admin</cp:lastModifiedBy>
  <cp:revision>2</cp:revision>
  <dcterms:created xsi:type="dcterms:W3CDTF">2020-06-02T08:28:00Z</dcterms:created>
  <dcterms:modified xsi:type="dcterms:W3CDTF">2020-06-02T08:28:00Z</dcterms:modified>
</cp:coreProperties>
</file>